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pPr w:bottomFromText="0" w:horzAnchor="margin" w:leftFromText="141" w:rightFromText="141" w:tblpX="0" w:tblpY="990" w:topFromText="0" w:vertAnchor="margin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3"/>
        <w:gridCol w:w="551"/>
        <w:gridCol w:w="565"/>
        <w:gridCol w:w="551"/>
        <w:gridCol w:w="1112"/>
        <w:gridCol w:w="965"/>
        <w:gridCol w:w="958"/>
        <w:gridCol w:w="1114"/>
        <w:gridCol w:w="835"/>
        <w:gridCol w:w="907"/>
        <w:gridCol w:w="899"/>
      </w:tblGrid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3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Chlapci</w:t>
            </w:r>
          </w:p>
        </w:tc>
        <w:tc>
          <w:tcPr>
            <w:tcW w:w="285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Dívky</w:t>
            </w:r>
          </w:p>
        </w:tc>
        <w:tc>
          <w:tcPr>
            <w:tcW w:w="89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Celkem  průměr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</w:t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∑</w:t>
            </w:r>
            <w:r>
              <w:rPr/>
              <w:t>7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průměr (kg)</w:t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max. (kg)</w:t>
            </w:r>
          </w:p>
        </w:tc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(kg)</w:t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průměr (kg)</w:t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max. (kg)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min. (kg)</w:t>
            </w:r>
          </w:p>
        </w:tc>
        <w:tc>
          <w:tcPr>
            <w:tcW w:w="89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I.st.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1.A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3,36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3,62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2,56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3,20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4,24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2,56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3,27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1.B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21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3,27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4,20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2,92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3,35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3,92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3,16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3,32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2.A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3,67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4,02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3,34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3,99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5,50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2,30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3,88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2.B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4,22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4,96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2,66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4,61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5,26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4,22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4,43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3.A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4,66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4,96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4,02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4,88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5,92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4,20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4,78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3.B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4.A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4.B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5,30</w:t>
            </w:r>
          </w:p>
        </w:tc>
        <w:tc>
          <w:tcPr>
            <w:tcW w:w="965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6,78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2,46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5,29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7,16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4,06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5,29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5.A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3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5.B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51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1112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5,04</w:t>
            </w:r>
          </w:p>
        </w:tc>
        <w:tc>
          <w:tcPr>
            <w:tcW w:w="965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6,36</w:t>
            </w:r>
          </w:p>
        </w:tc>
        <w:tc>
          <w:tcPr>
            <w:tcW w:w="958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3,32</w:t>
            </w:r>
          </w:p>
        </w:tc>
        <w:tc>
          <w:tcPr>
            <w:tcW w:w="1114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5,32</w:t>
            </w:r>
          </w:p>
        </w:tc>
        <w:tc>
          <w:tcPr>
            <w:tcW w:w="835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7,46</w:t>
            </w:r>
          </w:p>
        </w:tc>
        <w:tc>
          <w:tcPr>
            <w:tcW w:w="907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3,58</w:t>
            </w:r>
          </w:p>
        </w:tc>
        <w:tc>
          <w:tcPr>
            <w:tcW w:w="899" w:type="dxa"/>
            <w:tcBorders/>
            <w:shd w:color="auto" w:fill="FFE59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5,21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∑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59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72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131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II.st.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6.A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5,02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6,52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3,54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5,53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6,64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4,32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5,15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6.B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7.A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4,72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4,80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3,20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5,94</w:t>
            </w:r>
          </w:p>
        </w:tc>
        <w:tc>
          <w:tcPr>
            <w:tcW w:w="835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8,98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3,60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5,39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7.B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5,04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6,86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3,23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5,99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7,80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4,24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5,40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8.A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4,06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5,70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3,40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4,20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5,30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3,40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4,12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8.B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5,29</w:t>
            </w:r>
          </w:p>
        </w:tc>
        <w:tc>
          <w:tcPr>
            <w:tcW w:w="965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7,50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3,24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4,48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6,01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2,90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5,01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9.A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4,76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6,90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3,50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4,37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5,20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2,75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4,59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9.B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551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2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6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58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1114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35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907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  <w:tc>
          <w:tcPr>
            <w:tcW w:w="899" w:type="dxa"/>
            <w:tcBorders/>
            <w:shd w:color="auto" w:fill="BDD6EE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∑</w:t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44</w:t>
            </w:r>
          </w:p>
        </w:tc>
        <w:tc>
          <w:tcPr>
            <w:tcW w:w="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105</w:t>
            </w:r>
          </w:p>
        </w:tc>
        <w:tc>
          <w:tcPr>
            <w:tcW w:w="11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603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  <w:t>∑∑</w:t>
            </w:r>
          </w:p>
        </w:tc>
        <w:tc>
          <w:tcPr>
            <w:tcW w:w="551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  <w:t>120</w:t>
            </w:r>
          </w:p>
        </w:tc>
        <w:tc>
          <w:tcPr>
            <w:tcW w:w="56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  <w:t>116</w:t>
            </w:r>
          </w:p>
        </w:tc>
        <w:tc>
          <w:tcPr>
            <w:tcW w:w="551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  <w:t>236</w:t>
            </w:r>
          </w:p>
        </w:tc>
        <w:tc>
          <w:tcPr>
            <w:tcW w:w="1112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96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958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1114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83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90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  <w:tc>
          <w:tcPr>
            <w:tcW w:w="899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rPr>
                <w:rFonts w:cs="Aharoni"/>
                <w:b/>
                <w:b/>
              </w:rPr>
            </w:pPr>
            <w:r>
              <w:rPr>
                <w:rFonts w:cs="Aharoni"/>
                <w:b/>
              </w:rPr>
            </w:r>
          </w:p>
        </w:tc>
      </w:tr>
      <w:tr>
        <w:trPr>
          <w:trHeight w:val="589" w:hRule="atLeast"/>
        </w:trPr>
        <w:tc>
          <w:tcPr>
            <w:tcW w:w="9060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  <w:b/>
                <w:b/>
              </w:rPr>
            </w:pPr>
            <w:r>
              <w:rPr>
                <w:rFonts w:ascii="Arial Black" w:hAnsi="Arial Black"/>
                <w:b/>
              </w:rPr>
              <w:t>Celkový počet vážených brašen 236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Tabulka měření hmotnosti brašny přítomných žáků I. a  II. stupně ZŠ a MŠ Polanka nad Odrou.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Jak těžké brašny nosí </w:t>
      </w:r>
      <w:r>
        <w:rPr>
          <w:b/>
          <w:bCs/>
          <w:sz w:val="36"/>
          <w:szCs w:val="36"/>
        </w:rPr>
        <w:t xml:space="preserve">naši </w:t>
      </w:r>
      <w:r>
        <w:rPr>
          <w:b/>
          <w:bCs/>
          <w:sz w:val="36"/>
          <w:szCs w:val="36"/>
        </w:rPr>
        <w:t>žáci do školy?</w:t>
      </w:r>
    </w:p>
    <w:p>
      <w:pPr>
        <w:pStyle w:val="Normal"/>
        <w:jc w:val="both"/>
        <w:rPr/>
      </w:pPr>
      <w:r>
        <w:rPr>
          <w:b/>
          <w:bCs/>
        </w:rPr>
        <w:t xml:space="preserve">Období měření: únor a začátek března (ukončeno 10. 3. 2020 </w:t>
      </w:r>
      <w:r>
        <w:rPr>
          <w:b/>
          <w:bCs/>
        </w:rPr>
        <w:t>kvůli</w:t>
      </w:r>
      <w:r>
        <w:rPr>
          <w:b/>
          <w:bCs/>
        </w:rPr>
        <w:t xml:space="preserve"> </w:t>
      </w:r>
      <w:r>
        <w:rPr>
          <w:b/>
          <w:bCs/>
        </w:rPr>
        <w:t>C</w:t>
      </w:r>
      <w:r>
        <w:rPr>
          <w:b/>
          <w:bCs/>
        </w:rPr>
        <w:t>ovid-19), proto nejsou všechny třídy.</w:t>
      </w:r>
    </w:p>
    <w:p>
      <w:pPr>
        <w:pStyle w:val="Normal"/>
        <w:jc w:val="both"/>
        <w:rPr/>
      </w:pPr>
      <w:r>
        <w:rPr/>
        <w:t>V minulých l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e</w:t>
      </w:r>
      <w:r>
        <w:rPr/>
        <w:t xml:space="preserve">tech jsem často pozoroval žáky naší školy, jak někteří nosí brašny typu batoh, různě se kroutí a mají mnohdy nepřirozenou chůzí. Napadlo mě udělat měření hmotnosti brašen, které </w:t>
      </w:r>
      <w:r>
        <w:rPr/>
        <w:t xml:space="preserve">naši </w:t>
      </w:r>
      <w:r>
        <w:rPr/>
        <w:t xml:space="preserve">žáci nosí. </w:t>
      </w:r>
    </w:p>
    <w:p>
      <w:pPr>
        <w:pStyle w:val="Normal"/>
        <w:jc w:val="both"/>
        <w:rPr/>
      </w:pPr>
      <w:r>
        <w:rPr/>
        <w:t>V únoru jsem toto měření začal provádět vždy na začátku první hodiny, když jsou</w:t>
      </w:r>
      <w:bookmarkStart w:id="0" w:name="_GoBack"/>
      <w:bookmarkEnd w:id="0"/>
      <w:r>
        <w:rPr/>
        <w:t xml:space="preserve"> brašny ještě plné, zároveň jsem chtěl co nejméně narušit výuku. Bohužel v 5 třídách se to</w:t>
      </w:r>
      <w:r>
        <w:rPr/>
        <w:t>to měření</w:t>
      </w:r>
      <w:r>
        <w:rPr/>
        <w:t xml:space="preserve"> neuskutečnilo v důsledku uzavření škol. Přesto si myslím, že výše uvedená tabulka dostatečně vypovídá o hmotnosti brašen, které žáci nosí. </w:t>
      </w:r>
    </w:p>
    <w:p>
      <w:pPr>
        <w:pStyle w:val="Normal"/>
        <w:jc w:val="both"/>
        <w:rPr/>
      </w:pPr>
      <w:r>
        <w:rPr/>
        <w:t xml:space="preserve">Při měření jsem se zaměřil na chlapce, dívky, na maximální </w:t>
      </w:r>
      <w:r>
        <w:rPr/>
        <w:t>i</w:t>
      </w:r>
      <w:r>
        <w:rPr/>
        <w:t xml:space="preserve"> minimální zátěž. Chtěl jsem také porovnat toto měření s nějakou normou ČSN. Obrátil jsem se </w:t>
      </w:r>
      <w:r>
        <w:rPr/>
        <w:t xml:space="preserve">proto </w:t>
      </w:r>
      <w:r>
        <w:rPr/>
        <w:t xml:space="preserve">na KHS Ostrava. Bylo mi sděleno, </w:t>
      </w:r>
      <w:r>
        <w:rPr/>
        <w:t>že</w:t>
      </w:r>
      <w:r>
        <w:rPr/>
        <w:t xml:space="preserve"> existuje jen norma na prázdnou brašnu. </w:t>
      </w:r>
      <w:r>
        <w:rPr>
          <w:b/>
        </w:rPr>
        <w:t xml:space="preserve">Hmotnost dle normy ČSN 79 6506 – prázdná brašna </w:t>
      </w:r>
      <w:r>
        <w:rPr>
          <w:b/>
        </w:rPr>
        <w:t>nesmí</w:t>
      </w:r>
      <w:r>
        <w:rPr>
          <w:b/>
        </w:rPr>
        <w:t xml:space="preserve"> vážit </w:t>
      </w:r>
      <w:r>
        <w:rPr>
          <w:b/>
        </w:rPr>
        <w:t>u</w:t>
      </w:r>
      <w:r>
        <w:rPr>
          <w:b/>
        </w:rPr>
        <w:t xml:space="preserve"> školáka 1. stupně více než 1200 g, u 2. stupně více než 1400 g.</w:t>
      </w:r>
      <w:r>
        <w:rPr/>
        <w:t xml:space="preserve"> </w:t>
      </w:r>
      <w:r>
        <w:rPr>
          <w:b/>
        </w:rPr>
        <w:t xml:space="preserve">Váha brašny s učebními pomůckami není u nás dána žádnou normou, doporučit lze max. váhu nepřesahující 10–15 % váhy dítěte. Pokud je dítě drobnější postavy nebo má vadné držení těla, případně je nuceno nosit každý den brašnu delší dobu, věnujte váze a obsahu brašny každodenní pozornost! Pro orientaci uvádíme </w:t>
      </w:r>
      <w:r>
        <w:rPr>
          <w:b/>
        </w:rPr>
        <w:t xml:space="preserve">níže </w:t>
      </w:r>
      <w:r>
        <w:rPr>
          <w:b/>
        </w:rPr>
        <w:t>hodnoty maximální váhy plné brašny vzhledem k hmotnosti dítěte. Tyto hodnoty byly převzaty dle německých doporučení</w:t>
      </w:r>
      <w:r>
        <w:rPr/>
        <w:t>.</w:t>
      </w:r>
    </w:p>
    <w:p>
      <w:pPr>
        <w:pStyle w:val="Normal"/>
        <w:jc w:val="both"/>
        <w:rPr/>
      </w:pPr>
      <w:r>
        <w:rPr/>
        <w:t xml:space="preserve">Také mi byl zaslán materiál RNDr. Věry Filipové s názvem </w:t>
      </w:r>
      <w:r>
        <w:rPr>
          <w:i/>
          <w:iCs/>
        </w:rPr>
        <w:t>Jak vybrat školní brašnu?</w:t>
      </w:r>
      <w:r>
        <w:rPr/>
        <w:t xml:space="preserve">, který můžete najít na </w:t>
      </w:r>
      <w:hyperlink r:id="rId2">
        <w:r>
          <w:rPr>
            <w:rStyle w:val="Internetovodkaz"/>
          </w:rPr>
          <w:t>www.szu.cz/publikace/letáky</w:t>
        </w:r>
      </w:hyperlink>
      <w:r>
        <w:rPr/>
        <w:t xml:space="preserve"> nebo </w:t>
      </w:r>
      <w:hyperlink r:id="rId3">
        <w:r>
          <w:rPr>
            <w:rStyle w:val="Internetovodkaz"/>
          </w:rPr>
          <w:t>www.szu.cz/tema/podpora-zdravi/skola-a-zdravi</w:t>
        </w:r>
      </w:hyperlink>
      <w:r>
        <w:rPr/>
        <w:t>. Uvedená tabulka je převzata z výše uvedené publikace. Tyto doporučené hodnoty jsou převzaty z Německa, jak zmíněná publikace uvádí.</w:t>
      </w:r>
    </w:p>
    <w:p>
      <w:pPr>
        <w:pStyle w:val="Normal"/>
        <w:jc w:val="both"/>
        <w:rPr/>
      </w:pPr>
      <w:r>
        <w:rPr/>
      </w:r>
    </w:p>
    <w:tbl>
      <w:tblPr>
        <w:tblStyle w:val="Mkatabulky"/>
        <w:tblW w:w="4560" w:type="dxa"/>
        <w:jc w:val="left"/>
        <w:tblInd w:w="22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2279"/>
      </w:tblGrid>
      <w:tr>
        <w:trPr>
          <w:trHeight w:val="275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Hmotnost dítěte (kg)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Hmotnost brašny (kg)</w:t>
            </w:r>
          </w:p>
        </w:tc>
      </w:tr>
      <w:tr>
        <w:trPr>
          <w:trHeight w:val="260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18 - 22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2.2 - 2.8</w:t>
            </w:r>
          </w:p>
        </w:tc>
      </w:tr>
      <w:tr>
        <w:trPr>
          <w:trHeight w:val="275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24 - 28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2.9 - 3.4</w:t>
            </w:r>
          </w:p>
        </w:tc>
      </w:tr>
      <w:tr>
        <w:trPr>
          <w:trHeight w:val="260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29 - 33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3.5 - 4.0</w:t>
            </w:r>
          </w:p>
        </w:tc>
      </w:tr>
      <w:tr>
        <w:trPr>
          <w:trHeight w:val="275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34 - 38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4.1 - 4.6</w:t>
            </w:r>
          </w:p>
        </w:tc>
      </w:tr>
      <w:tr>
        <w:trPr>
          <w:trHeight w:val="260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39 - 43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4.7 - 5.2</w:t>
            </w:r>
          </w:p>
        </w:tc>
      </w:tr>
      <w:tr>
        <w:trPr>
          <w:trHeight w:val="275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44 - 48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5.3 - 5.8</w:t>
            </w:r>
          </w:p>
        </w:tc>
      </w:tr>
      <w:tr>
        <w:trPr>
          <w:trHeight w:val="275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49 - 53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5.9 - 6.4</w:t>
            </w:r>
          </w:p>
        </w:tc>
      </w:tr>
      <w:tr>
        <w:trPr>
          <w:trHeight w:val="260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54 - 58</w:t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6,5 – 7,0</w:t>
            </w:r>
          </w:p>
        </w:tc>
      </w:tr>
      <w:tr>
        <w:trPr>
          <w:trHeight w:val="260" w:hRule="atLeast"/>
        </w:trPr>
        <w:tc>
          <w:tcPr>
            <w:tcW w:w="22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Smyslem uvedeného měření je dát rodičům informace o zatížení dětí při školní docházce a také vyloučit z brašen zbytečnosti, které pro výuku potřebné nejsou. </w:t>
      </w:r>
      <w:r>
        <w:rPr/>
        <w:t>Závěrem bych chtěl také poděkovat  paní Mgr. Michale Remešové z KHS Ostrava za konzultaci a poskytnuté materiály.</w:t>
      </w:r>
    </w:p>
    <w:p>
      <w:pPr>
        <w:pStyle w:val="Normal"/>
        <w:widowControl/>
        <w:bidi w:val="0"/>
        <w:spacing w:lineRule="auto" w:line="259" w:before="0" w:after="160"/>
        <w:jc w:val="both"/>
        <w:rPr/>
      </w:pPr>
      <w:r>
        <w:rPr/>
        <w:t>Zpracoval RNDr. Josef Teper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55acd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f42ee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u.cz/publikace/let&#225;ky" TargetMode="External"/><Relationship Id="rId3" Type="http://schemas.openxmlformats.org/officeDocument/2006/relationships/hyperlink" Target="http://www.szu.cz/tema/podpora-zdravi/skola-a-zdrav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LibreOffice/6.3.6.2$Windows_X86_64 LibreOffice_project/2196df99b074d8a661f4036fca8fa0cbfa33a497</Application>
  <Pages>2</Pages>
  <Words>630</Words>
  <Characters>2636</Characters>
  <CharactersWithSpaces>3020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2020-08-28T16:10:00Z</dcterms:created>
  <dc:creator>Josef</dc:creator>
  <dc:description/>
  <dc:language>en-GB</dc:language>
  <cp:lastModifiedBy/>
  <dcterms:modified xsi:type="dcterms:W3CDTF">2020-09-01T22:06:15Z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